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Evidence obyvatel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>Evidence obyvatel – přihlašování k trvalému pobytu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-  rušení trvalého pobytu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>-  ukončení trvalého pobytu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-  poskytování údajů z informačního systému – občanům, zákonným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                                </w:t>
            </w:r>
            <w:r>
              <w:rPr>
                <w:sz w:val="20"/>
                <w:szCs w:val="20"/>
              </w:rPr>
              <w:t>zástupcům, opatrovníkům, zmocněncům, subjektům na základě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zákona.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cs-CZ"/>
              </w:rPr>
              <w:t>pomoc při zprostředkování kontaktu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111/2009 Sb., - Zákon o základních registrech,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133/2000 Sb., - Zákon o evidenci obyvatel,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296/2004 Sb., - Vyhláška, kterou se provádí zákon o evidenci obyvatel,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561/2004 Sb., - Školský zákon,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>
                <w:rFonts w:cs="Arial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Všichni občané ČR a vazebně i cizinci. Obyvatelé uvedení v § 1 odst. 1 zákona 133/2000 Sb. Klienti - žadatelé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datum narození, místo narození, rodné číslo, trvalé bydliště, doručovací adresa, předchozí pobyt, číslo OP, omezení způsobilosti, údaje o opatrovníkovi, oprávněná osoba,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Evidence obyvatel  je zpřístupněna zaměstnancům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605 Evidence obyvatel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605.1 Evidence obyvatel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605.1.1 Hlášení evidenci obyvatel (zbavení nebo omezení způsobilosti k právním úkonům, zákaz pobytu)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605.1.2 Ostatní hlášení (narození, manželství, úmrtí, rozvody, stěhování aj.) S1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605.1.7 Přihlašovací lístek k trvalému pobytu z let 1954-83 V100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605.2 Národnostní menšiny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605.3 Uprchlíci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605.4 Rozhodování o zrušení trvalého pobytu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605.5 Přihlašovací lístek k trvalému pobytu A75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605.6 Evidence vydaných potvrzení o změně místa trvalého pobytu S5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Přihlašovací lístky – kartotéky (neuzamčené)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Žádosti o výpisy z IS – uzamčená skříňka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Dotazníky – uzamčená skříňka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Program MV ČR – CDBP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Program MV  ČR – WYSSE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Czech point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Spisová služba, kartotéka, úřední deska, intranet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Dálkový přístup do katastru nemovitostí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e-maily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Ruian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Spisy – uzamčená skříňka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Dopisy – uzamčená skříňka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Elektronicky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Úřední deska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Intranet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Program MV ČR – CDBP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Program MV  ČR – WYSSE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Czech point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Spisová služba, kartotéka, úřední deska, intranet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Dálkový přístup do katastru nemovitostí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e-maily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Ruian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0"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54">
    <w:name w:val="ListLabel 54"/>
    <w:qFormat/>
    <w:rPr>
      <w:rFonts w:ascii="Arial" w:hAnsi="Arial" w:cs="Arial"/>
      <w:sz w:val="20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345</Words>
  <Characters>2124</Characters>
  <CharactersWithSpaces>2568</CharactersWithSpaces>
  <Paragraphs>58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2018-05-27T17:20:22Z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